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4A0B4D6D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705D05">
        <w:rPr>
          <w:rFonts w:asciiTheme="minorHAnsi" w:hAnsiTheme="minorHAnsi"/>
          <w:b/>
        </w:rPr>
        <w:t>Téměř nulové budova (NEZB)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75FF1912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CE5C6E">
        <w:rPr>
          <w:rFonts w:asciiTheme="minorHAnsi" w:hAnsiTheme="minorHAnsi"/>
          <w:b/>
        </w:rPr>
        <w:t>1.8</w:t>
      </w:r>
      <w:r w:rsidR="00CC7DD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417B8"/>
    <w:rsid w:val="00063807"/>
    <w:rsid w:val="00074379"/>
    <w:rsid w:val="000A36EC"/>
    <w:rsid w:val="000E3A5F"/>
    <w:rsid w:val="000F65D9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05D05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E5C6E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EC2B75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E37D0F3-1AC0-457B-8AF7-63F3474D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3</cp:revision>
  <cp:lastPrinted>2016-01-22T07:23:00Z</cp:lastPrinted>
  <dcterms:created xsi:type="dcterms:W3CDTF">2020-05-14T07:25:00Z</dcterms:created>
  <dcterms:modified xsi:type="dcterms:W3CDTF">2020-05-14T07:28:00Z</dcterms:modified>
</cp:coreProperties>
</file>