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6B05C82F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0417B8" w:rsidRPr="000417B8">
        <w:rPr>
          <w:rFonts w:asciiTheme="minorHAnsi" w:hAnsiTheme="minorHAnsi"/>
          <w:b/>
        </w:rPr>
        <w:t>Tvorba a čtení technické dokumentace ve stavebnictví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64D9C624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EC2B75">
        <w:rPr>
          <w:rFonts w:asciiTheme="minorHAnsi" w:hAnsiTheme="minorHAnsi"/>
          <w:b/>
        </w:rPr>
        <w:t>2.3</w:t>
      </w:r>
      <w:r w:rsidR="00CC7DD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417B8"/>
    <w:rsid w:val="00063807"/>
    <w:rsid w:val="00074379"/>
    <w:rsid w:val="000A36EC"/>
    <w:rsid w:val="000E3A5F"/>
    <w:rsid w:val="000F65D9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EC2B75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A6AEC2-6A16-433E-A039-A50FC8EA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3</cp:revision>
  <cp:lastPrinted>2016-01-22T07:23:00Z</cp:lastPrinted>
  <dcterms:created xsi:type="dcterms:W3CDTF">2020-05-13T06:27:00Z</dcterms:created>
  <dcterms:modified xsi:type="dcterms:W3CDTF">2020-05-14T07:19:00Z</dcterms:modified>
</cp:coreProperties>
</file>